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30.12.2013 N 532-пп</w:t>
              <w:br/>
              <w:t xml:space="preserve">(ред. от 11.04.2022)</w:t>
              <w:br/>
              <w:t xml:space="preserve">"О проведении мониторинга технического состояния многоквартирных домов на территории Белгородской области"</w:t>
              <w:br/>
              <w:t xml:space="preserve">(вместе с "Порядком проведения мониторинга технического состояния многоквартирных домов на территории Белгородской области")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декабря 2013 г. N 532-пп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ПРОВЕДЕНИИ МОНИТОРИНГА ТЕХНИЧЕСКОГО СОСТОЯНИЯ</w:t>
      </w:r>
    </w:p>
    <w:p>
      <w:pPr>
        <w:pStyle w:val="2"/>
        <w:jc w:val="center"/>
      </w:pPr>
      <w:r>
        <w:rPr>
          <w:sz w:val="20"/>
        </w:rPr>
        <w:t xml:space="preserve">МНОГОКВАРТИРНЫХ ДОМОВ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07.07.2015 </w:t>
            </w:r>
            <w:hyperlink w:history="0" r:id="rId7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256-пп</w:t>
              </w:r>
            </w:hyperlink>
            <w:r>
              <w:rPr>
                <w:sz w:val="20"/>
                <w:color w:val="392c69"/>
              </w:rPr>
              <w:t xml:space="preserve">, от 07.09.2015 </w:t>
            </w:r>
            <w:hyperlink w:history="0" r:id="rId8" w:tooltip="Постановление Правительства Белгородской обл. от 07.09.2015 N 333-пп &quot;О внесении изменений в постановление Правительства Белгородской области от 30 декабря 2013 года N 532-пп&quot; {КонсультантПлюс}">
              <w:r>
                <w:rPr>
                  <w:sz w:val="20"/>
                  <w:color w:val="0000ff"/>
                </w:rPr>
                <w:t xml:space="preserve">N 333-пп</w:t>
              </w:r>
            </w:hyperlink>
            <w:r>
              <w:rPr>
                <w:sz w:val="20"/>
                <w:color w:val="392c69"/>
              </w:rPr>
              <w:t xml:space="preserve">, от 20.08.2018 </w:t>
            </w:r>
            <w:hyperlink w:history="0" r:id="rId9" w:tooltip="Постановление Правительства Белгородской обл. от 20.08.2018 N 302-пп &quot;О внесении изменений в постановление Правительства Белгородской области от 30 декабря 2013 года N 532-пп&quot; {КонсультантПлюс}">
              <w:r>
                <w:rPr>
                  <w:sz w:val="20"/>
                  <w:color w:val="0000ff"/>
                </w:rPr>
                <w:t xml:space="preserve">N 302-пп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27.05.2019 </w:t>
            </w:r>
            <w:hyperlink w:history="0" r:id="rId10" w:tooltip="Постановление Правительства Белгородской обл. от 27.05.2019 N 237-пп &quot;О внесении изменения в постановление Правительства Белгородской области от 30 декабря 2013 года N 532-пп&quot; {КонсультантПлюс}">
              <w:r>
                <w:rPr>
                  <w:sz w:val="20"/>
                  <w:color w:val="0000ff"/>
                </w:rPr>
                <w:t xml:space="preserve">N 237-пп</w:t>
              </w:r>
            </w:hyperlink>
            <w:r>
              <w:rPr>
                <w:sz w:val="20"/>
                <w:color w:val="392c69"/>
              </w:rPr>
              <w:t xml:space="preserve">, от 17.08.2020 </w:t>
            </w:r>
            <w:hyperlink w:history="0" r:id="rId11" w:tooltip="Постановление Правительства Белгородской обл. от 17.08.2020 N 375-пп &quot;О внесении изменений в постановление Правительства Белгородской области от 30 декабря 2013 года N 532-пп&quot; (вместе с &quot;Порядком проведения мониторинга технического состояния многоквартирных домов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375-пп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12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положений Жилищного </w:t>
      </w:r>
      <w:hyperlink w:history="0" r:id="rId13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кодекса</w:t>
        </w:r>
      </w:hyperlink>
      <w:r>
        <w:rPr>
          <w:sz w:val="20"/>
        </w:rPr>
        <w:t xml:space="preserve"> Российской Федерации, </w:t>
      </w:r>
      <w:hyperlink w:history="0" r:id="rId14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создания условий для формирования фондов капитального ремонта общего имущества в многоквартирных домах, расположенных на территории Белгородской области,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проведения мониторинга технического состояния многоквартирных домов на территории Белгородской области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министерство жилищно-коммунального хозяйства Белгородской области (Ботвиньев А.Н.) органом, ответственным за проведение мониторинга технического состояния многоквартирных домов на территории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07.07.2015 </w:t>
      </w:r>
      <w:hyperlink w:history="0" r:id="rId15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N 256-пп</w:t>
        </w:r>
      </w:hyperlink>
      <w:r>
        <w:rPr>
          <w:sz w:val="20"/>
        </w:rPr>
        <w:t xml:space="preserve">, от 17.08.2020 </w:t>
      </w:r>
      <w:hyperlink w:history="0" r:id="rId16" w:tooltip="Постановление Правительства Белгородской обл. от 17.08.2020 N 375-пп &quot;О внесении изменений в постановление Правительства Белгородской области от 30 декабря 2013 года N 532-пп&quot; (вместе с &quot;Порядком проведения мониторинга технического состояния многоквартирных домов на территории Белгородской области&quot;) {КонсультантПлюс}">
        <w:r>
          <w:rPr>
            <w:sz w:val="20"/>
            <w:color w:val="0000ff"/>
          </w:rPr>
          <w:t xml:space="preserve">N 375-пп</w:t>
        </w:r>
      </w:hyperlink>
      <w:r>
        <w:rPr>
          <w:sz w:val="20"/>
        </w:rPr>
        <w:t xml:space="preserve">, от 11.04.2022 </w:t>
      </w:r>
      <w:hyperlink w:history="0" r:id="rId17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N 222-пп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30 декабря 2013 г. N 532-пп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ПРОВЕДЕНИЯ МОНИТОРИНГА ТЕХНИЧЕСКОГО СОСТОЯНИЯ</w:t>
      </w:r>
    </w:p>
    <w:p>
      <w:pPr>
        <w:pStyle w:val="2"/>
        <w:jc w:val="center"/>
      </w:pPr>
      <w:r>
        <w:rPr>
          <w:sz w:val="20"/>
        </w:rPr>
        <w:t xml:space="preserve">МНОГОКВАРТИРНЫХ ДОМОВ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17.08.2020 </w:t>
            </w:r>
            <w:hyperlink w:history="0" r:id="rId19" w:tooltip="Постановление Правительства Белгородской обл. от 17.08.2020 N 375-пп &quot;О внесении изменений в постановление Правительства Белгородской области от 30 декабря 2013 года N 532-пп&quot; (вместе с &quot;Порядком проведения мониторинга технического состояния многоквартирных домов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375-пп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20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В соответствии с </w:t>
      </w:r>
      <w:hyperlink w:history="0" r:id="rId2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пунктом 2 части 1 статьи 167</w:t>
        </w:r>
      </w:hyperlink>
      <w:r>
        <w:rPr>
          <w:sz w:val="20"/>
        </w:rPr>
        <w:t xml:space="preserve"> Жилищного кодекса Российской Федерации Порядок проведения мониторинга технического состояния многоквартирных домов на территории Белгородской области (далее - Порядок) устанавливает основные требования к ведению мониторинга технического состояния многоквартирных домов в целях обеспечения своевременного проведения капитального ремонта общего имущества в многоквартирных домах и регулирует правоотношения в области проведения мониторинга технического состояния многоквартирных домов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Для целей Порядка используются следующие основные понятия: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мониторинг технического состояния многоквартирного дома (далее - мониторинг) - система постоянного наблюдения за техническим состоянием многоквартирного дома. В рамках мониторинга осуществляется сбор, систематизация, анализ и оценка информации о техническом состоянии многоквартирных домов;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объект мониторинга - многоквартирный дом (далее - МКД) независимо от формы собственности, его основные конструктивные элементы, влияющие на его прочность и эксплуатационные характеристики, подлежащие мониторингу, инженерные системы, обеспечивающие тепло-, газо-, водо-, энергоснабжение;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единый подход к проведению мониторинга - подход, основанный на объективных показателях, определяющих характеристики дефектов элементов зданий, физический износ, техническое состояние МКД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техническое состояние МКД - совокупность свойств МКД и его элементов, подверженных изменению в течение срока нормативной эксплуатации.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Цель проведения мониторинга заключается в определении действительного технического состояния МКД и его элементов с учетом изменений, происходящих во времени, для установления состава и объема работ по капитальному ремонту или реконструкции.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Основные принципы мониторинга: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законность и достоверность получения информации о техническом состоянии жилищного фонда;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непрерывность наблюдения за техническим состоянием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единство диагностики и системы показателей результатов обследования;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открытость доступа к результатам проведения мониторинга;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полнота сведений о техническом состоянии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Задачи мониторинга: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определение эксплуатационного ресурса объектов мониторинга и сроков проведения капитального ремонта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анализ соответствия нормативным требованиям показателей технического состояния жилищного фонда;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создание базы данных о техническом состоянии объектов мониторинга для формирования плана капитального ремонта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наблюдение за техническим состоянием объектов мониторинга и своевременное принятие мер по устранению возникающих негативных факторов, ведущих к ухудшению этого состояния;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анализ полученной информации.</w:t>
      </w:r>
    </w:p>
    <w:p>
      <w:pPr>
        <w:pStyle w:val="0"/>
        <w:jc w:val="both"/>
      </w:pPr>
      <w:r>
        <w:rPr>
          <w:sz w:val="20"/>
        </w:rPr>
      </w:r>
    </w:p>
    <w:bookmarkStart w:id="64" w:name="P64"/>
    <w:bookmarkEnd w:id="64"/>
    <w:p>
      <w:pPr>
        <w:pStyle w:val="2"/>
        <w:outlineLvl w:val="1"/>
        <w:jc w:val="center"/>
      </w:pPr>
      <w:r>
        <w:rPr>
          <w:sz w:val="20"/>
        </w:rPr>
        <w:t xml:space="preserve">II. Порядок проведения мониторинга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2.1. Участники системы мониторинга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2.1.1. Ответственное лицо МКД - лицо, ответственное за проведение осмотра МКД в целях оценки его технического состояния.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осуществлении непосредственного управления МКД собственниками помещений в данном доме ответственным лицом МКД является лицо, оказывающее услуги и (или) выполняющее работы по содержанию и ремонту общего имущества в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управлении МКД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являются ответственными лицами МКД. При заключении договора управления МКД с управляющей организацией указанные товарищество или кооператив осуществляют контроль за выполнением управляющей организацией обязательств по проведению осмотра технического состояния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управлении многоквартирным домом управляющей организацией данная организация является ответственным лицом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2.1.2. Фонд содействия реформированию жилищно-коммунального хозяйства Белгородской области (далее - Фонд).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2.1.3. Орган местного самоуправления (исполнительно-распорядительный орган муниципального образования) - орган местного самоуправления муниципального района (городского округа), на территории которого находится объект мониторинга.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2.2. Способы наблюдения за техническим состоянием МКД</w:t>
      </w:r>
    </w:p>
    <w:p>
      <w:pPr>
        <w:pStyle w:val="0"/>
        <w:jc w:val="both"/>
      </w:pPr>
      <w:r>
        <w:rPr>
          <w:sz w:val="20"/>
        </w:rPr>
      </w:r>
    </w:p>
    <w:bookmarkStart w:id="77" w:name="P77"/>
    <w:bookmarkEnd w:id="77"/>
    <w:p>
      <w:pPr>
        <w:pStyle w:val="0"/>
        <w:ind w:firstLine="540"/>
        <w:jc w:val="both"/>
      </w:pPr>
      <w:r>
        <w:rPr>
          <w:sz w:val="20"/>
        </w:rPr>
        <w:t xml:space="preserve">2.2.1. Система наблюдения за техническим состоянием МКД применительно к целям Порядка включает в себя следующие способы наблюдения: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анализ электронного паспорта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проверка технической документации на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визуальный осмотр;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инструментальный контроль.</w:t>
      </w:r>
    </w:p>
    <w:bookmarkStart w:id="82" w:name="P82"/>
    <w:bookmarkEnd w:id="8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2.2.2. В случае если информация, которая была получена путем применения способов наблюдения, указанных в </w:t>
      </w:r>
      <w:hyperlink w:history="0" w:anchor="P77" w:tooltip="2.2.1. Система наблюдения за техническим состоянием МКД применительно к целям Порядка включает в себя следующие способы наблюдения:">
        <w:r>
          <w:rPr>
            <w:sz w:val="20"/>
            <w:color w:val="0000ff"/>
          </w:rPr>
          <w:t xml:space="preserve">пункте 2.2.1 подраздела 2.2 раздела II</w:t>
        </w:r>
      </w:hyperlink>
      <w:r>
        <w:rPr>
          <w:sz w:val="20"/>
        </w:rPr>
        <w:t xml:space="preserve"> Порядка, является недостаточной для определения технического состояния конструктивного элемента МКД, дополнительно собираются и анализируются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архивные материалы, содержащие информацию о техническом состоянии общего имущества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дефектные ведомости;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документы о выполненных ремонтных работах;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акты и предписания специализированных организаций о состоянии инженерного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акты аварий;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заключения специализированных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акты (письма) по жалобам (обращениям) граждан, собственников, пользователей помещений МКД (их законных представителей), органов государственной власти и органов местного самоуправления, организаций всех видов собственности независимо от организационно-правовых форм по вопросам технического состояния, содержания и ремонта общего имущества МКД, управления МКД, качества и количества предоставления жилищно-коммунальных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2.2.3. При инструментальном контроле за техническим состоянием конструктивного элемента МКД с учетом анализа информации, полученной в соответствии с </w:t>
      </w:r>
      <w:hyperlink w:history="0" w:anchor="P82" w:tooltip="2.2.2. В случае если информация, которая была получена путем применения способов наблюдения, указанных в пункте 2.2.1 подраздела 2.2 раздела II Порядка, является недостаточной для определения технического состояния конструктивного элемента МКД, дополнительно собираются и анализируются следующие документы:">
        <w:r>
          <w:rPr>
            <w:sz w:val="20"/>
            <w:color w:val="0000ff"/>
          </w:rPr>
          <w:t xml:space="preserve">пунктом 2.2.2 подраздела 2.2 раздела II</w:t>
        </w:r>
      </w:hyperlink>
      <w:r>
        <w:rPr>
          <w:sz w:val="20"/>
        </w:rPr>
        <w:t xml:space="preserve"> Порядка, оцениваются и описываются все дефекты и повреждения данного конструктивного элемента МКД в формулировках признаков физического износа.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2.3. Порядок и сроки проведения мониторинга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2.3.1. Первый мониторинг проводится не позднее чем через два года после ввода МКД в эксплуатацию. В дальнейшем мониторинг проводится не реже одного раза в десять лет. Для уникальных зданий устанавливается постоянный режим мониторинга.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2.3.2. Мониторинг проводится также: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отношении МКД, включенных в трехлетний план реализации адресной программы проведения капитального ремонта общего имущества в многоквартирных домах в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истечении нормативных сроков эксплуатации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обнаружении значительных дефектов, повреждений и деформаций в процессе технического обслуживания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результатам последствий пожаров, стихийных бедствий, аварий, связанных с разрушением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изменении технологического назначения здания (сооружения);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предписанию органов, уполномоченных на ведение государственного строительного надзора.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Мониторинг может проводиться также по инициативе собственников помещений в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2.3.3. Мониторинг проводится в соответствии с предварительно разработанными графиками.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2.3.4. Ежегодно не позднее 1 ноября орган местного самоуправления разрабатывает и представляет в Фонд графики проведения мониторинга на очередной год. Фонд в течение 15 (пятнадцати) рабочих дней рассматривает и согласовывает представленные графики.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2.3.5. Ежегодно не позднее 1 февраля орган местного самоуправления формирует комиссию по проведению мониторинга на текущий год, в состав которой входят: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представители: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Фонда;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органа местного самоуправления;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собственников жилых и нежилых помещений в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специализированных организаций (по согласованию);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ответственное лицо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2.3.6. Для МКД, включенных в трехлетний план реализации адресной программы проведения капитального ремонта общего имущества в многоквартирных домах в Белгородской области на следующий год, мониторинг должен быть проведен не позднее 1 мая текущего года (в отношении конструктивных элементов, капитальный ремонт которых запланирован на следующий год).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2.3.7. Орган местного самоуправления обеспечивает проведение мониторинга комиссией по проведению мониторинга. Мониторинг проводится способами, указанными в </w:t>
      </w:r>
      <w:hyperlink w:history="0" w:anchor="P64" w:tooltip="II. Порядок проведения мониторинга">
        <w:r>
          <w:rPr>
            <w:sz w:val="20"/>
            <w:color w:val="0000ff"/>
          </w:rPr>
          <w:t xml:space="preserve">разделе II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2.3.8. В течение 15 (пятнадцати) рабочих дней с даты проведения мониторинга орган местного самоуправления оформляет результаты мониторинга в виде </w:t>
      </w:r>
      <w:hyperlink w:history="0" w:anchor="P165" w:tooltip="АКТ">
        <w:r>
          <w:rPr>
            <w:sz w:val="20"/>
            <w:color w:val="0000ff"/>
          </w:rPr>
          <w:t xml:space="preserve">Актов</w:t>
        </w:r>
      </w:hyperlink>
      <w:r>
        <w:rPr>
          <w:sz w:val="20"/>
        </w:rPr>
        <w:t xml:space="preserve"> мониторинга технического состояния МКД (далее - Акт) в соответствии с приложением к Порядку и направляет их на рассмотрение в Фонд.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2.3.9. По результатам мониторинга должны быть определены и отражены в Акте перечень и объемы работ по каждому конструктивному элементу, требующему проведения капитального ремонта, а также износ многоквартирного дома в соответствии с ведомственными строительными </w:t>
      </w:r>
      <w:hyperlink w:history="0" r:id="rId22" w:tooltip="&quot;Ведомственные строительные нормы. Правила оценки физического износа жилых зданий. ВСН 53-86(р)&quot; (утв. Приказом Госгражданстроя при Госстрое СССР от 24.12.1986 N 446) {КонсультантПлюс}">
        <w:r>
          <w:rPr>
            <w:sz w:val="20"/>
            <w:color w:val="0000ff"/>
          </w:rPr>
          <w:t xml:space="preserve">нормами</w:t>
        </w:r>
      </w:hyperlink>
      <w:r>
        <w:rPr>
          <w:sz w:val="20"/>
        </w:rPr>
        <w:t xml:space="preserve"> ВСН 53-86(р) "Правила оценки физического износа жилых зданий".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Результаты мониторинга должны содержать вывод о возможности дальнейшей безаварийной эксплуатации МКД.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2.3.10. Акты подписываются всеми членами комиссии по проведению мониторинга и передаются на хранение в Фонд.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2.3.11. В случае если по результатам проведения мониторинга выявлено наличие сверхнормативных изменений технического состояния объекта мониторинга, данная информация направляется Фондом в министерство жилищно-коммунального хозяйства Белгородской области для принятия решений по устранению сверхнормативных изменений.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2.4. Виды конструктивных элементов МКД,</w:t>
      </w:r>
    </w:p>
    <w:p>
      <w:pPr>
        <w:pStyle w:val="2"/>
        <w:jc w:val="center"/>
      </w:pPr>
      <w:r>
        <w:rPr>
          <w:sz w:val="20"/>
        </w:rPr>
        <w:t xml:space="preserve">в отношении которых проводится мониторинг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1) внутридомовая инженерная система электро-, тепло-, газо-, водоснабжения, водоотведения, вентиляция;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лифтовое оборудование, лифтовая шахта;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крыша, кровельное покрытие, устройства выходов на кровлю, водосточная система;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подвальные помещения, относящиеся к общему имуществу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фасад, стены, перекрытия;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коллективные (общедомовые) приборы учета потребления ресурсов, необходимых для предоставления коммунальных услуг, узлов управления и регулирования потребления этих ресурсов (тепловой энергии, горячей и холодной воды, электрической энергии, газа);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фундамент МКД;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пандусы для перемещения инвалидных колясок.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2.5. МКД, в отношении которых не проводится мониторинг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Мониторинг не проводится в отношении следующих МКД: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признанных в установленном Правительством Российской Федерации порядке аварийными и подлежащими сносу или реконструкции;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физический износ основных конструктивных элементов (крыша, стены, фундамент) которых превышает семьдесят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совокупная стоимость услуг и (или) работ по капитальному ремонту конструктивных элементов и внутридомовых инженерных систем, входящих в состав общего имущества в многоквартирных домах, в расчете на один квадратный метр общей площади жилых помещений превышает стоимость, определенную нормативным правовым актом субъекта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имеется менее чем пять квартир;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в отношении которых на дату утверждения или актуализации региональной программы капитального ремонта в порядке, установленном нормативным правовым актом субъекта Российской Федерации, приняты решения о сносе или реконструкции.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2.6. Информационное обеспечение мониторинга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2.6.1. Утвержденные графики проведения мониторинга размещаются на официальном сайте Фонда в сети Интернет, а также на официальных сайтах органов местного самоуправления в сети Интернет.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2.6.2. С целью актуализации базы данных о техническом состоянии объектов мониторинга, сведения, полученные в ходе проведения мониторинга, подлежат внесению органами местного самоуправления в информационную систему "АИС "Город" в рамках ежегодной актуализации адресной программы проведения капитального ремонта общего имущества в многоквартирных домах в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2.7. Ответственность за результаты мониторинга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2.7.1. Ответственность за своевременность проведения и достоверность результатов мониторинга технического состояния МКД на территории Белгородской области несут органы местного самоуправления муниципального района (городского округа), на территории которого находится объект мониторинга.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проведения мониторинга</w:t>
      </w:r>
    </w:p>
    <w:p>
      <w:pPr>
        <w:pStyle w:val="0"/>
        <w:jc w:val="right"/>
      </w:pPr>
      <w:r>
        <w:rPr>
          <w:sz w:val="20"/>
        </w:rPr>
        <w:t xml:space="preserve">технического состояния многоквартирных</w:t>
      </w:r>
    </w:p>
    <w:p>
      <w:pPr>
        <w:pStyle w:val="0"/>
        <w:jc w:val="right"/>
      </w:pPr>
      <w:r>
        <w:rPr>
          <w:sz w:val="20"/>
        </w:rPr>
        <w:t xml:space="preserve">домов 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4"/>
        <w:gridCol w:w="3628"/>
      </w:tblGrid>
      <w:tr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Согласовано: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НО "Фонд содействия реформированию жилищно-коммунального хозяйства Белгородской области"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</w:t>
            </w:r>
          </w:p>
        </w:tc>
      </w:tr>
      <w:tr>
        <w:tc>
          <w:tcPr>
            <w:gridSpan w:val="2"/>
            <w:tcW w:w="8952" w:type="dxa"/>
            <w:tcBorders>
              <w:top w:val="nil"/>
              <w:left w:val="nil"/>
              <w:bottom w:val="nil"/>
              <w:right w:val="nil"/>
            </w:tcBorders>
          </w:tcPr>
          <w:bookmarkStart w:id="165" w:name="P165"/>
          <w:bookmarkEnd w:id="165"/>
          <w:p>
            <w:pPr>
              <w:pStyle w:val="0"/>
              <w:jc w:val="center"/>
            </w:pPr>
            <w:r>
              <w:rPr>
                <w:sz w:val="20"/>
              </w:rPr>
              <w:t xml:space="preserve">АКТ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мониторинга технического состояния многоквартирного дома</w:t>
            </w:r>
          </w:p>
        </w:tc>
      </w:tr>
      <w:tr>
        <w:tc>
          <w:tcPr>
            <w:gridSpan w:val="2"/>
            <w:tcW w:w="895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Дата составления: _________________________</w:t>
            </w:r>
          </w:p>
        </w:tc>
      </w:tr>
      <w:tr>
        <w:tc>
          <w:tcPr>
            <w:gridSpan w:val="2"/>
            <w:tcW w:w="89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Населенный пункт: ____________________</w:t>
            </w:r>
          </w:p>
        </w:tc>
      </w:tr>
      <w:tr>
        <w:tc>
          <w:tcPr>
            <w:gridSpan w:val="2"/>
            <w:tcW w:w="89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Улица (проспект): _________</w:t>
            </w:r>
          </w:p>
        </w:tc>
      </w:tr>
      <w:tr>
        <w:tc>
          <w:tcPr>
            <w:gridSpan w:val="2"/>
            <w:tcW w:w="89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Номер дома ____ Корпус _______</w:t>
            </w:r>
          </w:p>
        </w:tc>
      </w:tr>
      <w:tr>
        <w:tc>
          <w:tcPr>
            <w:gridSpan w:val="2"/>
            <w:tcW w:w="895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Общие сведения о многоквартирном доме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0"/>
        <w:gridCol w:w="5839"/>
        <w:gridCol w:w="1418"/>
        <w:gridCol w:w="1249"/>
      </w:tblGrid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8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</w:t>
            </w:r>
          </w:p>
        </w:tc>
        <w:tc>
          <w:tcPr>
            <w:tcW w:w="14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2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Показатель</w:t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583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8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Год постройки</w:t>
            </w:r>
          </w:p>
        </w:tc>
        <w:tc>
          <w:tcPr>
            <w:tcW w:w="14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8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Площадь жилых помещений</w:t>
            </w:r>
          </w:p>
        </w:tc>
        <w:tc>
          <w:tcPr>
            <w:tcW w:w="14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м2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8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Площадь нежилых</w:t>
            </w:r>
          </w:p>
        </w:tc>
        <w:tc>
          <w:tcPr>
            <w:tcW w:w="14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м2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83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этажей, наименьшее</w:t>
            </w:r>
          </w:p>
        </w:tc>
        <w:tc>
          <w:tcPr>
            <w:tcW w:w="14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штук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839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этажей, наибольшее</w:t>
            </w:r>
          </w:p>
        </w:tc>
        <w:tc>
          <w:tcPr>
            <w:tcW w:w="14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штук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5839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Количество подъездов</w:t>
            </w:r>
          </w:p>
        </w:tc>
        <w:tc>
          <w:tcPr>
            <w:tcW w:w="141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штук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583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Износ многоквартирного дома в соответствии с </w:t>
            </w:r>
            <w:hyperlink w:history="0" r:id="rId24" w:tooltip="&quot;Ведомственные строительные нормы. Правила оценки физического износа жилых зданий. ВСН 53-86(р)&quot; (утв. Приказом Госгражданстроя при Госстрое СССР от 24.12.1986 N 446) {КонсультантПлюс}">
              <w:r>
                <w:rPr>
                  <w:sz w:val="20"/>
                  <w:color w:val="0000ff"/>
                </w:rPr>
                <w:t xml:space="preserve">ВСН 53-86 (р)</w:t>
              </w:r>
            </w:hyperlink>
            <w:r>
              <w:rPr>
                <w:sz w:val="20"/>
              </w:rPr>
              <w:t xml:space="preserve"> "Правила оценки физического износа жилых зданий" на дату проведения мониторинга</w:t>
            </w:r>
          </w:p>
        </w:tc>
        <w:tc>
          <w:tcPr>
            <w:tcW w:w="141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%</w:t>
            </w:r>
          </w:p>
        </w:tc>
        <w:tc>
          <w:tcPr>
            <w:tcW w:w="12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Сведения о ранее проведенном капитальном</w:t>
      </w:r>
    </w:p>
    <w:p>
      <w:pPr>
        <w:pStyle w:val="0"/>
        <w:jc w:val="center"/>
      </w:pPr>
      <w:r>
        <w:rPr>
          <w:sz w:val="20"/>
        </w:rPr>
        <w:t xml:space="preserve">ремонте многоквартирного дома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0"/>
        <w:gridCol w:w="6307"/>
        <w:gridCol w:w="2211"/>
      </w:tblGrid>
      <w:tr>
        <w:tc>
          <w:tcPr>
            <w:tcW w:w="5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63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конструктивных элементов, инженерных систем, инженерного оборудования, элементов благоустройства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Год проведения</w:t>
            </w:r>
          </w:p>
        </w:tc>
      </w:tr>
      <w:tr>
        <w:tc>
          <w:tcPr>
            <w:tcW w:w="5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3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Электроснабжение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Теплоснабжение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Холодное водоснабжение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Горячее водоснабжение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Водоотведение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6307" w:type="dxa"/>
          </w:tcPr>
          <w:p>
            <w:pPr>
              <w:pStyle w:val="0"/>
            </w:pPr>
            <w:r>
              <w:rPr>
                <w:sz w:val="20"/>
              </w:rPr>
              <w:t xml:space="preserve">Газоснабжение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Лифтовое оборудование, лифтовая шахта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Крыша, устройства выходов на кровлю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Кровельное покрытие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Ремонт фасада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Утепление фасада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Фундамент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630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Выходы из подъездов здания (крыльца), из подвалов и цокольных этажей</w:t>
            </w:r>
          </w:p>
        </w:tc>
        <w:tc>
          <w:tcPr>
            <w:tcW w:w="221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Система мусороудаления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Отмостка здания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Пандусы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4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6307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Элементы благоустройства (детские, спортивные площадки) в границах земельного участка, на котором расположен многоквартирный дом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Определение необходимости проведения отдельных видов работ</w:t>
      </w:r>
    </w:p>
    <w:p>
      <w:pPr>
        <w:pStyle w:val="0"/>
        <w:jc w:val="center"/>
      </w:pPr>
      <w:r>
        <w:rPr>
          <w:sz w:val="20"/>
        </w:rPr>
        <w:t xml:space="preserve">по результатам проведенного технического мониторинга</w:t>
      </w:r>
    </w:p>
    <w:p>
      <w:pPr>
        <w:pStyle w:val="0"/>
        <w:jc w:val="center"/>
      </w:pPr>
      <w:r>
        <w:rPr>
          <w:sz w:val="20"/>
        </w:rPr>
        <w:t xml:space="preserve">многоквартирного дома N ___</w:t>
      </w:r>
    </w:p>
    <w:p>
      <w:pPr>
        <w:pStyle w:val="0"/>
        <w:jc w:val="center"/>
      </w:pPr>
      <w:r>
        <w:rPr>
          <w:sz w:val="20"/>
        </w:rPr>
        <w:t xml:space="preserve">по ул. (бул., пр-т, пер., мкр) ________________________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4"/>
        <w:gridCol w:w="2268"/>
        <w:gridCol w:w="1304"/>
        <w:gridCol w:w="799"/>
        <w:gridCol w:w="1191"/>
        <w:gridCol w:w="1644"/>
        <w:gridCol w:w="1191"/>
      </w:tblGrid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работ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7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Описание конструктивных элементов (тип, материал)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Техническое состояние конструктивного элемента (степень износа, наличие повреждений)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Капитальный ремонт конструктивного элемента требуется/не требуется</w:t>
            </w:r>
          </w:p>
        </w:tc>
      </w:tr>
      <w:tr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фасада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Фасад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общей площади фасада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Балконные плиты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балконной плиты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Балконы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балкон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Оконные блоки в местах общего пользования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оконных блоков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Входные (подъездные) дверные блоки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дверного блока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1.6.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Входные группы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вход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1.7.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Козырьки подъездов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подъезд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1.8.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Цоколь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площади цоколя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внутридомовых инженерных систем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теплоснабжения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отопления (магистрали)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отопления (стояки в квартирах)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Радиаторы в местах общего пользования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радиатор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Необходимость замены стояков центрального отопления с радиаторами по новым отверстиям (в случае, если существующая система отопления находится в стенах)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жилой площади помещений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водоотведения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канализации (магистрали)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Выпуски системы канализации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Выпуски системы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выпуск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канализации (стояки в квартирах)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холодного водоснабжения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холодного водоснабжения (магистрали)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холодного водоснабжения (стояки в квартирах)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горячего водоснабжения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горячего водоснабжения (магистрали)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горячего водоснабжения (стояки в квартирах)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трубопроводов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электроснабжения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Вводно-распределительное устройство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Общедомовая система освещения (силовой кабель, розетки и выключатели)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освещения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Светодиодные светильники на лестничной клетке и в подвале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светильник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Светодиодные светильники с датчиками движения на лестничной клетке и в подвале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светильник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2.5.5.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Электрический кабель (магистраль) от ВРУ до распределительного щита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 п. кабеля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2.5.6.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Этажные распределительные щиты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щит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2.5.7.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Заземление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дом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крыши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Кровля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Необходимость переустройства невентилируемой кровли на вентилируемую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кровли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Дефлекторы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лифтового оборудования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Лифт грузоподъемностью 400 кг (пассажирский)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Лифт грузоподъемностью 630 кг (грузовой)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Силовой кабель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Диспетчерская переговорная связь лифта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станция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подвальных помещений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Площадь стен подвала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подвала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Площадь пола подвала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подвала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Металлические противопожарные двери в подвале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Приямки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Продухи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5.6.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Вентиляционные решетки на продухи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5.7.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Отмостка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отмостки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5.8.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Наличие необходимости вскрытия и восстановления полов первых этажей в домах без подвальных помещений при выполнении ремонта инженерных сетей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 жилой площади 1-го этажа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узлов управления и регулирования потребления тепловой энергии, горячей воды. Обследование коллективных (общедомовых) приборов учета потребления ресурсов </w:t>
            </w:r>
            <w:hyperlink w:history="0" w:anchor="P672" w:tooltip="&lt;*&gt; при наличии приборов учета и узлов управления указывается их техническое состояние, в случае отсутствия таковых - в столбце N 5 указывается &quot;отсутствует&quot;, в столбце N 7 - &quot;необходимость установки&quot;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gridSpan w:val="6"/>
            <w:tcW w:w="83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узлов управления и регулирования потребления тепловой энергии, горячей воды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Автоматизированный индивидуальный тепловой пункт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Прибор учета тепловой энергии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4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коллективных (общедомовых) приборов учета потребления ресурсов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Горячего водоснабжения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Холодного водоснабжения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узел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6.2.3.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Оборудования телеметрии для общедомовых приборов учета энергетических ресурсов (электрической энергии, холодной воды, горячей воды, тепла)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пандусов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Пандус с поручнем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пандус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Откидное стационарное устройство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шт.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outlineLvl w:val="3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gridSpan w:val="6"/>
            <w:tcW w:w="839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Обследование фундамента многоквартирного дома</w:t>
            </w:r>
          </w:p>
        </w:tc>
      </w:tr>
      <w:tr>
        <w:tc>
          <w:tcPr>
            <w:tcW w:w="6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Ремонт фундаментов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объект</w:t>
            </w:r>
          </w:p>
        </w:tc>
        <w:tc>
          <w:tcPr>
            <w:tcW w:w="7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672" w:name="P672"/>
    <w:bookmarkEnd w:id="67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при наличии приборов учета и узлов управления указывается их техническое состояние, в случае отсутствия таковых - в столбце N 5 указывается "отсутствует", в столбце N 7 - "необходимость установки".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3458"/>
        <w:gridCol w:w="2438"/>
      </w:tblGrid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Члены комиссии:</w:t>
            </w:r>
          </w:p>
        </w:tc>
        <w:tc>
          <w:tcPr>
            <w:gridSpan w:val="2"/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  <w:t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Подпись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30.12.2013 N 532-пп</w:t>
            <w:br/>
            <w:t>(ред. от 11.04.2022)</w:t>
            <w:br/>
            <w:t>"О проведении мониторинга техн...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9A0598F8897E25C0EC5048FA8E9730C6F04D88E701CB8C347B6A3FF347E8D6083779EA02E784D0414AB20181D735F4EF6B2D0401294C259E00210Ab40FI" TargetMode = "External"/>
	<Relationship Id="rId8" Type="http://schemas.openxmlformats.org/officeDocument/2006/relationships/hyperlink" Target="consultantplus://offline/ref=9A0598F8897E25C0EC5048FA8E9730C6F04D88E701CA82337A6A3FF347E8D6083779EA02E784D0414AB20287D735F4EF6B2D0401294C259E00210Ab40FI" TargetMode = "External"/>
	<Relationship Id="rId9" Type="http://schemas.openxmlformats.org/officeDocument/2006/relationships/hyperlink" Target="consultantplus://offline/ref=9A0598F8897E25C0EC5048FA8E9730C6F04D88E703CC80377A6A3FF347E8D6083779EA02E784D0414AB20287D735F4EF6B2D0401294C259E00210Ab40FI" TargetMode = "External"/>
	<Relationship Id="rId10" Type="http://schemas.openxmlformats.org/officeDocument/2006/relationships/hyperlink" Target="consultantplus://offline/ref=9A0598F8897E25C0EC5048FA8E9730C6F04D88E703C785307F6A3FF347E8D6083779EA02E784D0414AB20287D735F4EF6B2D0401294C259E00210Ab40FI" TargetMode = "External"/>
	<Relationship Id="rId11" Type="http://schemas.openxmlformats.org/officeDocument/2006/relationships/hyperlink" Target="consultantplus://offline/ref=9A0598F8897E25C0EC5048FA8E9730C6F04D88E702CA843D7B6A3FF347E8D6083779EA02E784D0414AB20287D735F4EF6B2D0401294C259E00210Ab40FI" TargetMode = "External"/>
	<Relationship Id="rId12" Type="http://schemas.openxmlformats.org/officeDocument/2006/relationships/hyperlink" Target="consultantplus://offline/ref=9A0598F8897E25C0EC5048FA8E9730C6F04D88E70DCA8D377B6A3FF347E8D6083779EA02E784D0414AB20381D735F4EF6B2D0401294C259E00210Ab40FI" TargetMode = "External"/>
	<Relationship Id="rId13" Type="http://schemas.openxmlformats.org/officeDocument/2006/relationships/hyperlink" Target="consultantplus://offline/ref=9A0598F8897E25C0EC5056F798FB6ACBF042D0EB0CCC8E63273564AE10E1DC5F7036B343A189DA151BF6578FDE63BBAB3B3E040335b40FI" TargetMode = "External"/>
	<Relationship Id="rId14" Type="http://schemas.openxmlformats.org/officeDocument/2006/relationships/hyperlink" Target="consultantplus://offline/ref=9A0598F8897E25C0EC5048FA8E9730C6F04D88E70DC985327F6A3FF347E8D6083779EA10E7DCDC4348AC0287C263A5A9b30DI" TargetMode = "External"/>
	<Relationship Id="rId15" Type="http://schemas.openxmlformats.org/officeDocument/2006/relationships/hyperlink" Target="consultantplus://offline/ref=9A0598F8897E25C0EC5048FA8E9730C6F04D88E701CB8C347B6A3FF347E8D6083779EA02E784D0414AB20186D735F4EF6B2D0401294C259E00210Ab40FI" TargetMode = "External"/>
	<Relationship Id="rId16" Type="http://schemas.openxmlformats.org/officeDocument/2006/relationships/hyperlink" Target="consultantplus://offline/ref=9A0598F8897E25C0EC5048FA8E9730C6F04D88E702CA843D7B6A3FF347E8D6083779EA02E784D0414AB20284D735F4EF6B2D0401294C259E00210Ab40FI" TargetMode = "External"/>
	<Relationship Id="rId17" Type="http://schemas.openxmlformats.org/officeDocument/2006/relationships/hyperlink" Target="consultantplus://offline/ref=9A0598F8897E25C0EC5048FA8E9730C6F04D88E70DCA8D377B6A3FF347E8D6083779EA02E784D0414AB20386D735F4EF6B2D0401294C259E00210Ab40FI" TargetMode = "External"/>
	<Relationship Id="rId18" Type="http://schemas.openxmlformats.org/officeDocument/2006/relationships/hyperlink" Target="consultantplus://offline/ref=9A0598F8897E25C0EC5048FA8E9730C6F04D88E70DCA8D377B6A3FF347E8D6083779EA02E784D0414AB20387D735F4EF6B2D0401294C259E00210Ab40FI" TargetMode = "External"/>
	<Relationship Id="rId19" Type="http://schemas.openxmlformats.org/officeDocument/2006/relationships/hyperlink" Target="consultantplus://offline/ref=9A0598F8897E25C0EC5048FA8E9730C6F04D88E702CA843D7B6A3FF347E8D6083779EA02E784D0414AB20285D735F4EF6B2D0401294C259E00210Ab40FI" TargetMode = "External"/>
	<Relationship Id="rId20" Type="http://schemas.openxmlformats.org/officeDocument/2006/relationships/hyperlink" Target="consultantplus://offline/ref=9A0598F8897E25C0EC5048FA8E9730C6F04D88E70DCA8D377B6A3FF347E8D6083779EA02E784D0414AB20385D735F4EF6B2D0401294C259E00210Ab40FI" TargetMode = "External"/>
	<Relationship Id="rId21" Type="http://schemas.openxmlformats.org/officeDocument/2006/relationships/hyperlink" Target="consultantplus://offline/ref=9A0598F8897E25C0EC5056F798FB6ACBF042D0EB0CCC8E63273564AE10E1DC5F7036B343A189DA151BF6578FDE63BBAB3B3E040335b40FI" TargetMode = "External"/>
	<Relationship Id="rId22" Type="http://schemas.openxmlformats.org/officeDocument/2006/relationships/hyperlink" Target="consultantplus://offline/ref=890DD4A85D8CCB13499A410B560B1DBF60447F118E7501BBBC8771047402343836A4247A8B58678F84B8E72Ac90DI" TargetMode = "External"/>
	<Relationship Id="rId23" Type="http://schemas.openxmlformats.org/officeDocument/2006/relationships/hyperlink" Target="consultantplus://offline/ref=890DD4A85D8CCB13499A5F06406747B26D4629198F7B5FE5E881265B2404616A76FA7D3BCD4B668A9ABAE62095ED4E8CA9DA3201F201768C985336c20EI" TargetMode = "External"/>
	<Relationship Id="rId24" Type="http://schemas.openxmlformats.org/officeDocument/2006/relationships/hyperlink" Target="consultantplus://offline/ref=890DD4A85D8CCB13499A410B560B1DBF60447F118E7501BBBC8771047402343836A4247A8B58678F84B8E72Ac90D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30.12.2013 N 532-пп
(ред. от 11.04.2022)
"О проведении мониторинга технического состояния многоквартирных домов на территории Белгородской области"
(вместе с "Порядком проведения мониторинга технического состояния многоквартирных домов на территории Белгородской области")</dc:title>
  <dcterms:created xsi:type="dcterms:W3CDTF">2023-05-22T08:52:27Z</dcterms:created>
</cp:coreProperties>
</file>